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8945" w14:textId="132D1178" w:rsidR="0062193F" w:rsidRPr="00E168B9" w:rsidRDefault="0062193F" w:rsidP="0062193F">
      <w:pPr>
        <w:rPr>
          <w:b/>
          <w:color w:val="9CC2E5" w:themeColor="accent5" w:themeTint="99"/>
        </w:rPr>
      </w:pPr>
    </w:p>
    <w:p w14:paraId="1D81E9C5" w14:textId="357B7141" w:rsidR="0062193F" w:rsidRPr="004E70D8" w:rsidRDefault="004E70D8" w:rsidP="004E70D8">
      <w:pPr>
        <w:jc w:val="center"/>
        <w:rPr>
          <w:rFonts w:ascii="Avenir Next LT Pro Light" w:hAnsi="Avenir Next LT Pro Light" w:cstheme="minorHAnsi"/>
          <w:b/>
          <w:sz w:val="24"/>
          <w:szCs w:val="24"/>
          <w:u w:val="single"/>
        </w:rPr>
      </w:pPr>
      <w:r w:rsidRPr="004E70D8">
        <w:rPr>
          <w:rFonts w:ascii="Avenir Next LT Pro Light" w:hAnsi="Avenir Next LT Pro Light" w:cstheme="minorHAnsi"/>
          <w:b/>
          <w:noProof/>
          <w:sz w:val="24"/>
          <w:szCs w:val="24"/>
          <w:u w:val="single"/>
          <w:lang w:eastAsia="en-GB"/>
        </w:rPr>
        <w:t>Documented water provision plan for outdoor piglets</w:t>
      </w:r>
      <w:r w:rsidRPr="004E70D8">
        <w:rPr>
          <w:rFonts w:ascii="Avenir Next LT Pro Light" w:hAnsi="Avenir Next LT Pro Light" w:cstheme="minorHAnsi"/>
          <w:b/>
          <w:sz w:val="24"/>
          <w:szCs w:val="24"/>
          <w:u w:val="single"/>
        </w:rPr>
        <w:t xml:space="preserve"> </w:t>
      </w:r>
    </w:p>
    <w:p w14:paraId="3CA69978" w14:textId="5EE4DCB1" w:rsidR="000A0E87" w:rsidRDefault="000403E5">
      <w:pPr>
        <w:rPr>
          <w:rFonts w:ascii="Avenir Next LT Pro Light" w:hAnsi="Avenir Next LT Pro Light" w:cstheme="minorHAnsi"/>
          <w:sz w:val="24"/>
          <w:szCs w:val="24"/>
        </w:rPr>
      </w:pPr>
      <w:r>
        <w:rPr>
          <w:rFonts w:ascii="Avenir Next LT Pro Light" w:hAnsi="Avenir Next LT Pro Light" w:cstheme="minorHAnsi"/>
          <w:sz w:val="24"/>
          <w:szCs w:val="24"/>
        </w:rPr>
        <w:t xml:space="preserve">On outdoor units where water is not provided in the farrowing arc, </w:t>
      </w:r>
      <w:r w:rsidR="00942772">
        <w:rPr>
          <w:rFonts w:ascii="Avenir Next LT Pro Light" w:hAnsi="Avenir Next LT Pro Light" w:cstheme="minorHAnsi"/>
          <w:sz w:val="24"/>
          <w:szCs w:val="24"/>
        </w:rPr>
        <w:t xml:space="preserve">there must be plans in place for providing water on </w:t>
      </w:r>
      <w:r w:rsidR="00C01B28" w:rsidRPr="004E70D8">
        <w:rPr>
          <w:rFonts w:ascii="Avenir Next LT Pro Light" w:hAnsi="Avenir Next LT Pro Light" w:cstheme="minorHAnsi"/>
          <w:sz w:val="24"/>
          <w:szCs w:val="24"/>
        </w:rPr>
        <w:t>occasions where</w:t>
      </w:r>
      <w:r w:rsidR="00A365C9" w:rsidRPr="004E70D8">
        <w:rPr>
          <w:rFonts w:ascii="Avenir Next LT Pro Light" w:hAnsi="Avenir Next LT Pro Light" w:cstheme="minorHAnsi"/>
          <w:sz w:val="24"/>
          <w:szCs w:val="24"/>
        </w:rPr>
        <w:t xml:space="preserve"> the sow’s milk </w:t>
      </w:r>
      <w:r w:rsidR="00942772">
        <w:rPr>
          <w:rFonts w:ascii="Avenir Next LT Pro Light" w:hAnsi="Avenir Next LT Pro Light" w:cstheme="minorHAnsi"/>
          <w:sz w:val="24"/>
          <w:szCs w:val="24"/>
        </w:rPr>
        <w:t>may</w:t>
      </w:r>
      <w:r w:rsidR="00A365C9" w:rsidRPr="004E70D8">
        <w:rPr>
          <w:rFonts w:ascii="Avenir Next LT Pro Light" w:hAnsi="Avenir Next LT Pro Light" w:cstheme="minorHAnsi"/>
          <w:sz w:val="24"/>
          <w:szCs w:val="24"/>
        </w:rPr>
        <w:t xml:space="preserve"> not satisfy the </w:t>
      </w:r>
      <w:proofErr w:type="spellStart"/>
      <w:r w:rsidR="00A365C9" w:rsidRPr="004E70D8">
        <w:rPr>
          <w:rFonts w:ascii="Avenir Next LT Pro Light" w:hAnsi="Avenir Next LT Pro Light" w:cstheme="minorHAnsi"/>
          <w:sz w:val="24"/>
          <w:szCs w:val="24"/>
        </w:rPr>
        <w:t>unweaned</w:t>
      </w:r>
      <w:proofErr w:type="spellEnd"/>
      <w:r w:rsidR="00A365C9" w:rsidRPr="004E70D8">
        <w:rPr>
          <w:rFonts w:ascii="Avenir Next LT Pro Light" w:hAnsi="Avenir Next LT Pro Light" w:cstheme="minorHAnsi"/>
          <w:sz w:val="24"/>
          <w:szCs w:val="24"/>
        </w:rPr>
        <w:t xml:space="preserve"> piglets</w:t>
      </w:r>
      <w:r w:rsidR="00A3603C">
        <w:rPr>
          <w:rFonts w:ascii="Avenir Next LT Pro Light" w:hAnsi="Avenir Next LT Pro Light" w:cstheme="minorHAnsi"/>
          <w:sz w:val="24"/>
          <w:szCs w:val="24"/>
        </w:rPr>
        <w:t>’ water requirements</w:t>
      </w:r>
      <w:r w:rsidR="00A365C9" w:rsidRPr="004E70D8">
        <w:rPr>
          <w:rFonts w:ascii="Avenir Next LT Pro Light" w:hAnsi="Avenir Next LT Pro Light" w:cstheme="minorHAnsi"/>
          <w:sz w:val="24"/>
          <w:szCs w:val="24"/>
        </w:rPr>
        <w:t xml:space="preserve">, </w:t>
      </w:r>
      <w:proofErr w:type="gramStart"/>
      <w:r w:rsidR="00A3603C">
        <w:rPr>
          <w:rFonts w:ascii="Avenir Next LT Pro Light" w:hAnsi="Avenir Next LT Pro Light" w:cstheme="minorHAnsi"/>
          <w:sz w:val="24"/>
          <w:szCs w:val="24"/>
        </w:rPr>
        <w:t>e.g.</w:t>
      </w:r>
      <w:proofErr w:type="gramEnd"/>
      <w:r w:rsidR="00A3603C">
        <w:rPr>
          <w:rFonts w:ascii="Avenir Next LT Pro Light" w:hAnsi="Avenir Next LT Pro Light" w:cstheme="minorHAnsi"/>
          <w:sz w:val="24"/>
          <w:szCs w:val="24"/>
        </w:rPr>
        <w:t xml:space="preserve"> hot weather or sow/piglet illness.</w:t>
      </w:r>
    </w:p>
    <w:p w14:paraId="0CF36BB0" w14:textId="77777777" w:rsidR="00C31A6B" w:rsidRPr="004E70D8" w:rsidRDefault="00C31A6B">
      <w:pPr>
        <w:rPr>
          <w:rFonts w:ascii="Avenir Next LT Pro Light" w:hAnsi="Avenir Next LT Pro Light" w:cstheme="minorHAnsi"/>
          <w:sz w:val="24"/>
          <w:szCs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080"/>
      </w:tblGrid>
      <w:tr w:rsidR="00C3242F" w:rsidRPr="004E70D8" w14:paraId="071D0250" w14:textId="1793A6EB" w:rsidTr="005B30DC">
        <w:trPr>
          <w:trHeight w:val="454"/>
        </w:trPr>
        <w:tc>
          <w:tcPr>
            <w:tcW w:w="1702" w:type="dxa"/>
            <w:vMerge w:val="restart"/>
            <w:shd w:val="clear" w:color="auto" w:fill="D9E2F3" w:themeFill="accent1" w:themeFillTint="33"/>
          </w:tcPr>
          <w:p w14:paraId="2EA5BF0C" w14:textId="16623108" w:rsidR="00C3242F" w:rsidRPr="004E70D8" w:rsidRDefault="00C3242F">
            <w:pPr>
              <w:rPr>
                <w:rFonts w:ascii="Avenir Next LT Pro Light" w:hAnsi="Avenir Next LT Pro Light" w:cstheme="minorHAnsi"/>
                <w:sz w:val="24"/>
                <w:szCs w:val="24"/>
              </w:rPr>
            </w:pPr>
            <w:r>
              <w:rPr>
                <w:rFonts w:ascii="Avenir Next LT Pro Light" w:hAnsi="Avenir Next LT Pro Light" w:cstheme="minorHAnsi"/>
                <w:sz w:val="24"/>
                <w:szCs w:val="24"/>
              </w:rPr>
              <w:t>Occasions where water may need to be provided</w:t>
            </w:r>
            <w:r w:rsidRPr="004E70D8">
              <w:rPr>
                <w:rFonts w:ascii="Avenir Next LT Pro Light" w:hAnsi="Avenir Next LT Pro Light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shd w:val="clear" w:color="auto" w:fill="FFFFFF" w:themeFill="background1"/>
          </w:tcPr>
          <w:p w14:paraId="1589F799" w14:textId="59D2F8CC" w:rsidR="00C3242F" w:rsidRPr="00B1619F" w:rsidRDefault="00C3242F" w:rsidP="00B1619F">
            <w:pPr>
              <w:pStyle w:val="ListParagraph"/>
              <w:numPr>
                <w:ilvl w:val="0"/>
                <w:numId w:val="1"/>
              </w:numPr>
              <w:rPr>
                <w:rFonts w:ascii="Avenir Next LT Pro Light" w:hAnsi="Avenir Next LT Pro Light" w:cstheme="minorHAnsi"/>
                <w:sz w:val="24"/>
                <w:szCs w:val="24"/>
              </w:rPr>
            </w:pPr>
          </w:p>
        </w:tc>
      </w:tr>
      <w:tr w:rsidR="00C3242F" w:rsidRPr="004E70D8" w14:paraId="3F5F3EE4" w14:textId="77777777" w:rsidTr="005B30DC">
        <w:trPr>
          <w:trHeight w:val="454"/>
        </w:trPr>
        <w:tc>
          <w:tcPr>
            <w:tcW w:w="1702" w:type="dxa"/>
            <w:vMerge/>
            <w:shd w:val="clear" w:color="auto" w:fill="D9E2F3" w:themeFill="accent1" w:themeFillTint="33"/>
          </w:tcPr>
          <w:p w14:paraId="69039732" w14:textId="77777777" w:rsidR="00C3242F" w:rsidRDefault="00C3242F">
            <w:pPr>
              <w:rPr>
                <w:rFonts w:ascii="Avenir Next LT Pro Light" w:hAnsi="Avenir Next LT Pro Light" w:cstheme="minorHAnsi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14:paraId="49CC582B" w14:textId="77777777" w:rsidR="00C3242F" w:rsidRPr="00B1619F" w:rsidRDefault="00C3242F" w:rsidP="00B1619F">
            <w:pPr>
              <w:pStyle w:val="ListParagraph"/>
              <w:numPr>
                <w:ilvl w:val="0"/>
                <w:numId w:val="1"/>
              </w:numPr>
              <w:rPr>
                <w:rFonts w:ascii="Avenir Next LT Pro Light" w:hAnsi="Avenir Next LT Pro Light" w:cstheme="minorHAnsi"/>
                <w:sz w:val="24"/>
                <w:szCs w:val="24"/>
              </w:rPr>
            </w:pPr>
          </w:p>
        </w:tc>
      </w:tr>
      <w:tr w:rsidR="00C3242F" w:rsidRPr="004E70D8" w14:paraId="58D0A089" w14:textId="77777777" w:rsidTr="005B30DC">
        <w:trPr>
          <w:trHeight w:val="454"/>
        </w:trPr>
        <w:tc>
          <w:tcPr>
            <w:tcW w:w="1702" w:type="dxa"/>
            <w:vMerge/>
            <w:shd w:val="clear" w:color="auto" w:fill="D9E2F3" w:themeFill="accent1" w:themeFillTint="33"/>
          </w:tcPr>
          <w:p w14:paraId="43FC7F6E" w14:textId="77777777" w:rsidR="00C3242F" w:rsidRDefault="00C3242F">
            <w:pPr>
              <w:rPr>
                <w:rFonts w:ascii="Avenir Next LT Pro Light" w:hAnsi="Avenir Next LT Pro Light" w:cstheme="minorHAnsi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14:paraId="48B16731" w14:textId="77777777" w:rsidR="00C3242F" w:rsidRPr="00B1619F" w:rsidRDefault="00C3242F" w:rsidP="00B1619F">
            <w:pPr>
              <w:pStyle w:val="ListParagraph"/>
              <w:numPr>
                <w:ilvl w:val="0"/>
                <w:numId w:val="1"/>
              </w:numPr>
              <w:rPr>
                <w:rFonts w:ascii="Avenir Next LT Pro Light" w:hAnsi="Avenir Next LT Pro Light" w:cstheme="minorHAnsi"/>
                <w:sz w:val="24"/>
                <w:szCs w:val="24"/>
              </w:rPr>
            </w:pPr>
          </w:p>
        </w:tc>
      </w:tr>
      <w:tr w:rsidR="00C3242F" w:rsidRPr="004E70D8" w14:paraId="034CB55A" w14:textId="77777777" w:rsidTr="005B30DC">
        <w:trPr>
          <w:trHeight w:val="454"/>
        </w:trPr>
        <w:tc>
          <w:tcPr>
            <w:tcW w:w="1702" w:type="dxa"/>
            <w:vMerge/>
            <w:shd w:val="clear" w:color="auto" w:fill="D9E2F3" w:themeFill="accent1" w:themeFillTint="33"/>
          </w:tcPr>
          <w:p w14:paraId="56AB8A86" w14:textId="77777777" w:rsidR="00C3242F" w:rsidRDefault="00C3242F">
            <w:pPr>
              <w:rPr>
                <w:rFonts w:ascii="Avenir Next LT Pro Light" w:hAnsi="Avenir Next LT Pro Light" w:cstheme="minorHAnsi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14:paraId="0DEE1FF5" w14:textId="77777777" w:rsidR="00C3242F" w:rsidRPr="00B1619F" w:rsidRDefault="00C3242F" w:rsidP="00B1619F">
            <w:pPr>
              <w:pStyle w:val="ListParagraph"/>
              <w:numPr>
                <w:ilvl w:val="0"/>
                <w:numId w:val="1"/>
              </w:numPr>
              <w:rPr>
                <w:rFonts w:ascii="Avenir Next LT Pro Light" w:hAnsi="Avenir Next LT Pro Light" w:cstheme="minorHAnsi"/>
                <w:sz w:val="24"/>
                <w:szCs w:val="24"/>
              </w:rPr>
            </w:pPr>
          </w:p>
        </w:tc>
      </w:tr>
      <w:tr w:rsidR="00CC5515" w:rsidRPr="004E70D8" w14:paraId="2D8477EB" w14:textId="44D9ECE4" w:rsidTr="005B30DC">
        <w:trPr>
          <w:trHeight w:val="2188"/>
        </w:trPr>
        <w:tc>
          <w:tcPr>
            <w:tcW w:w="1702" w:type="dxa"/>
            <w:shd w:val="clear" w:color="auto" w:fill="D9E2F3" w:themeFill="accent1" w:themeFillTint="33"/>
          </w:tcPr>
          <w:p w14:paraId="1B0B5CE2" w14:textId="61D62594" w:rsidR="00CC5515" w:rsidRPr="00493FDE" w:rsidRDefault="00CC5515">
            <w:pPr>
              <w:rPr>
                <w:rFonts w:ascii="Avenir Next LT Pro Light" w:hAnsi="Avenir Next LT Pro Light" w:cstheme="minorHAnsi"/>
                <w:sz w:val="24"/>
                <w:szCs w:val="24"/>
              </w:rPr>
            </w:pPr>
            <w:r w:rsidRPr="00493FDE">
              <w:rPr>
                <w:rFonts w:ascii="Avenir Next LT Pro Light" w:hAnsi="Avenir Next LT Pro Light" w:cstheme="minorHAnsi"/>
                <w:sz w:val="24"/>
                <w:szCs w:val="24"/>
              </w:rPr>
              <w:t xml:space="preserve">Signs </w:t>
            </w:r>
            <w:r>
              <w:rPr>
                <w:rFonts w:ascii="Avenir Next LT Pro Light" w:hAnsi="Avenir Next LT Pro Light" w:cstheme="minorHAnsi"/>
                <w:sz w:val="24"/>
                <w:szCs w:val="24"/>
              </w:rPr>
              <w:t>that</w:t>
            </w:r>
            <w:r w:rsidRPr="00493FDE">
              <w:rPr>
                <w:rFonts w:ascii="Avenir Next LT Pro Light" w:hAnsi="Avenir Next LT Pro Light" w:cstheme="minorHAnsi"/>
                <w:sz w:val="24"/>
                <w:szCs w:val="24"/>
              </w:rPr>
              <w:t xml:space="preserve"> indicate piglets are dehydrated</w:t>
            </w:r>
            <w:r>
              <w:rPr>
                <w:rFonts w:ascii="Avenir Next LT Pro Light" w:hAnsi="Avenir Next LT Pro Light" w:cstheme="minorHAnsi"/>
                <w:sz w:val="24"/>
                <w:szCs w:val="24"/>
              </w:rPr>
              <w:t xml:space="preserve"> or water may be needed</w:t>
            </w:r>
          </w:p>
        </w:tc>
        <w:tc>
          <w:tcPr>
            <w:tcW w:w="8080" w:type="dxa"/>
          </w:tcPr>
          <w:p w14:paraId="7EEE69EF" w14:textId="0FC60E00" w:rsidR="00CC5515" w:rsidRPr="004E70D8" w:rsidRDefault="00CC5515">
            <w:pPr>
              <w:rPr>
                <w:rFonts w:ascii="Avenir Next LT Pro Light" w:hAnsi="Avenir Next LT Pro Light" w:cstheme="minorHAnsi"/>
                <w:i/>
                <w:iCs/>
                <w:sz w:val="24"/>
                <w:szCs w:val="24"/>
              </w:rPr>
            </w:pPr>
          </w:p>
        </w:tc>
      </w:tr>
      <w:tr w:rsidR="00CC5515" w:rsidRPr="004E70D8" w14:paraId="3130DF67" w14:textId="77777777" w:rsidTr="005B30DC">
        <w:trPr>
          <w:trHeight w:val="2188"/>
        </w:trPr>
        <w:tc>
          <w:tcPr>
            <w:tcW w:w="1702" w:type="dxa"/>
            <w:shd w:val="clear" w:color="auto" w:fill="D9E2F3" w:themeFill="accent1" w:themeFillTint="33"/>
          </w:tcPr>
          <w:p w14:paraId="03A48BA6" w14:textId="2FE7EA14" w:rsidR="00CC5515" w:rsidRPr="000E32D0" w:rsidRDefault="000E32D0">
            <w:pPr>
              <w:rPr>
                <w:rFonts w:ascii="Avenir Next LT Pro Light" w:hAnsi="Avenir Next LT Pro Light" w:cstheme="minorHAnsi"/>
                <w:sz w:val="24"/>
                <w:szCs w:val="24"/>
              </w:rPr>
            </w:pPr>
            <w:r>
              <w:rPr>
                <w:rFonts w:ascii="Avenir Next LT Pro Light" w:hAnsi="Avenir Next LT Pro Light" w:cstheme="minorHAnsi"/>
                <w:sz w:val="24"/>
                <w:szCs w:val="24"/>
              </w:rPr>
              <w:t>Actions to be taken</w:t>
            </w:r>
            <w:r w:rsidR="00C31A6B">
              <w:rPr>
                <w:rFonts w:ascii="Avenir Next LT Pro Light" w:hAnsi="Avenir Next LT Pro Light" w:cstheme="minorHAnsi"/>
                <w:sz w:val="24"/>
                <w:szCs w:val="24"/>
              </w:rPr>
              <w:t xml:space="preserve"> to provide water</w:t>
            </w:r>
          </w:p>
        </w:tc>
        <w:tc>
          <w:tcPr>
            <w:tcW w:w="8080" w:type="dxa"/>
          </w:tcPr>
          <w:p w14:paraId="5A8E19F9" w14:textId="77777777" w:rsidR="00CC5515" w:rsidRPr="004E70D8" w:rsidRDefault="00CC5515">
            <w:pPr>
              <w:rPr>
                <w:rFonts w:ascii="Avenir Next LT Pro Light" w:hAnsi="Avenir Next LT Pro Light" w:cstheme="minorHAnsi"/>
                <w:i/>
                <w:iCs/>
                <w:sz w:val="24"/>
                <w:szCs w:val="24"/>
              </w:rPr>
            </w:pPr>
          </w:p>
        </w:tc>
      </w:tr>
    </w:tbl>
    <w:p w14:paraId="4F88F22B" w14:textId="1BCF1A0E" w:rsidR="00F9795F" w:rsidRDefault="00F9795F">
      <w:pPr>
        <w:rPr>
          <w:rFonts w:ascii="Gill Sans Nova Light" w:hAnsi="Gill Sans Nova Light"/>
          <w:sz w:val="24"/>
          <w:szCs w:val="24"/>
        </w:rPr>
      </w:pPr>
    </w:p>
    <w:p w14:paraId="73274F1E" w14:textId="46132F67" w:rsidR="005B30DC" w:rsidRPr="005B30DC" w:rsidRDefault="005B30DC" w:rsidP="005B30DC">
      <w:pPr>
        <w:rPr>
          <w:rFonts w:ascii="Gill Sans Nova Light" w:hAnsi="Gill Sans Nova Light"/>
          <w:sz w:val="24"/>
          <w:szCs w:val="24"/>
        </w:rPr>
      </w:pPr>
    </w:p>
    <w:p w14:paraId="690E65D8" w14:textId="68661118" w:rsidR="005B30DC" w:rsidRPr="005B30DC" w:rsidRDefault="005B30DC" w:rsidP="005B30DC">
      <w:pPr>
        <w:rPr>
          <w:rFonts w:ascii="Gill Sans Nova Light" w:hAnsi="Gill Sans Nova Light"/>
          <w:sz w:val="24"/>
          <w:szCs w:val="24"/>
        </w:rPr>
      </w:pPr>
    </w:p>
    <w:p w14:paraId="2EAAA8B3" w14:textId="6416B2D7" w:rsidR="005B30DC" w:rsidRPr="005B30DC" w:rsidRDefault="005B30DC" w:rsidP="005B30DC">
      <w:pPr>
        <w:rPr>
          <w:rFonts w:ascii="Gill Sans Nova Light" w:hAnsi="Gill Sans Nova Light"/>
          <w:sz w:val="24"/>
          <w:szCs w:val="24"/>
        </w:rPr>
      </w:pPr>
    </w:p>
    <w:p w14:paraId="55D7DDD0" w14:textId="55654A21" w:rsidR="005B30DC" w:rsidRPr="005B30DC" w:rsidRDefault="005B30DC" w:rsidP="005B30DC">
      <w:pPr>
        <w:rPr>
          <w:rFonts w:ascii="Gill Sans Nova Light" w:hAnsi="Gill Sans Nova Light"/>
          <w:sz w:val="24"/>
          <w:szCs w:val="24"/>
        </w:rPr>
      </w:pPr>
    </w:p>
    <w:p w14:paraId="29D9BE77" w14:textId="216C92FB" w:rsidR="005B30DC" w:rsidRPr="005B30DC" w:rsidRDefault="005B30DC" w:rsidP="005B30DC">
      <w:pPr>
        <w:rPr>
          <w:rFonts w:ascii="Gill Sans Nova Light" w:hAnsi="Gill Sans Nova Light"/>
          <w:sz w:val="24"/>
          <w:szCs w:val="24"/>
        </w:rPr>
      </w:pPr>
    </w:p>
    <w:p w14:paraId="5D4F600D" w14:textId="4924CDC1" w:rsidR="005B30DC" w:rsidRPr="005B30DC" w:rsidRDefault="005B30DC" w:rsidP="005B30DC">
      <w:pPr>
        <w:rPr>
          <w:rFonts w:ascii="Gill Sans Nova Light" w:hAnsi="Gill Sans Nova Light"/>
          <w:sz w:val="24"/>
          <w:szCs w:val="24"/>
        </w:rPr>
      </w:pPr>
    </w:p>
    <w:p w14:paraId="23F648B2" w14:textId="3A4F9780" w:rsidR="005B30DC" w:rsidRPr="005B30DC" w:rsidRDefault="005B30DC" w:rsidP="005B30DC">
      <w:pPr>
        <w:rPr>
          <w:rFonts w:ascii="Gill Sans Nova Light" w:hAnsi="Gill Sans Nova Light"/>
          <w:sz w:val="24"/>
          <w:szCs w:val="24"/>
        </w:rPr>
      </w:pPr>
    </w:p>
    <w:p w14:paraId="1A73E43E" w14:textId="77777777" w:rsidR="005B30DC" w:rsidRPr="005B30DC" w:rsidRDefault="005B30DC" w:rsidP="005B30DC">
      <w:pPr>
        <w:ind w:firstLine="720"/>
        <w:rPr>
          <w:rFonts w:ascii="Gill Sans Nova Light" w:hAnsi="Gill Sans Nova Light"/>
          <w:sz w:val="24"/>
          <w:szCs w:val="24"/>
        </w:rPr>
      </w:pPr>
    </w:p>
    <w:sectPr w:rsidR="005B30DC" w:rsidRPr="005B30DC" w:rsidSect="000E32D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7AA8" w14:textId="77777777" w:rsidR="003C5AE7" w:rsidRDefault="003C5AE7" w:rsidP="0062193F">
      <w:pPr>
        <w:spacing w:after="0" w:line="240" w:lineRule="auto"/>
      </w:pPr>
      <w:r>
        <w:separator/>
      </w:r>
    </w:p>
  </w:endnote>
  <w:endnote w:type="continuationSeparator" w:id="0">
    <w:p w14:paraId="0F056FC6" w14:textId="77777777" w:rsidR="003C5AE7" w:rsidRDefault="003C5AE7" w:rsidP="0062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Gill Sans Nova Light">
    <w:panose1 w:val="020B0402020204020203"/>
    <w:charset w:val="00"/>
    <w:family w:val="swiss"/>
    <w:notTrueType/>
    <w:pitch w:val="variable"/>
    <w:sig w:usb0="A00002AF" w:usb1="00006803" w:usb2="00000000" w:usb3="00000000" w:csb0="0000019F" w:csb1="00000000"/>
  </w:font>
  <w:font w:name="Gill Sans Nova Cn Heavy">
    <w:panose1 w:val="020B0906020204020203"/>
    <w:charset w:val="00"/>
    <w:family w:val="swiss"/>
    <w:notTrueType/>
    <w:pitch w:val="variable"/>
    <w:sig w:usb0="A00002AF" w:usb1="00006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7053" w14:textId="24D37AEF" w:rsidR="006E51AF" w:rsidRDefault="003C5AE7" w:rsidP="006E51AF">
    <w:pPr>
      <w:pStyle w:val="Footer"/>
    </w:pPr>
    <w:sdt>
      <w:sdtPr>
        <w:id w:val="-19345836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51AF">
          <w:rPr>
            <w:noProof/>
          </w:rPr>
          <w:tab/>
          <w:t xml:space="preserve">                                                         </w:t>
        </w:r>
        <w:r w:rsidR="00612322">
          <w:rPr>
            <w:noProof/>
          </w:rPr>
          <w:tab/>
        </w:r>
        <w:r w:rsidR="00612322">
          <w:rPr>
            <w:noProof/>
          </w:rPr>
          <w:tab/>
        </w:r>
        <w:r w:rsidR="00612322">
          <w:rPr>
            <w:noProof/>
          </w:rPr>
          <w:tab/>
        </w:r>
        <w:r w:rsidR="006E51AF">
          <w:rPr>
            <w:noProof/>
          </w:rPr>
          <w:t xml:space="preserve">   </w:t>
        </w:r>
        <w:r w:rsidR="006E51AF">
          <w:rPr>
            <w:noProof/>
          </w:rPr>
          <w:tab/>
          <w:t xml:space="preserve">     © Assured Food Standards 202</w:t>
        </w:r>
        <w:r w:rsidR="00612322">
          <w:rPr>
            <w:noProof/>
          </w:rPr>
          <w:t>1</w:t>
        </w:r>
      </w:sdtContent>
    </w:sdt>
  </w:p>
  <w:p w14:paraId="20D638BF" w14:textId="77777777" w:rsidR="006E51AF" w:rsidRDefault="006E5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6393" w14:textId="77777777" w:rsidR="003C5AE7" w:rsidRDefault="003C5AE7" w:rsidP="0062193F">
      <w:pPr>
        <w:spacing w:after="0" w:line="240" w:lineRule="auto"/>
      </w:pPr>
      <w:r>
        <w:separator/>
      </w:r>
    </w:p>
  </w:footnote>
  <w:footnote w:type="continuationSeparator" w:id="0">
    <w:p w14:paraId="01F6C4E2" w14:textId="77777777" w:rsidR="003C5AE7" w:rsidRDefault="003C5AE7" w:rsidP="0062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0F0B" w14:textId="5C38D4B8" w:rsidR="0062193F" w:rsidRDefault="0062193F">
    <w:pPr>
      <w:pStyle w:val="Header"/>
    </w:pPr>
    <w:r w:rsidRPr="00D368F1">
      <w:rPr>
        <w:rFonts w:ascii="Gill Sans Nova Cn Heavy" w:hAnsi="Gill Sans Nova Cn Heavy"/>
        <w:noProof/>
        <w:color w:val="8EAADB" w:themeColor="accent1" w:themeTint="99"/>
        <w:sz w:val="52"/>
        <w:szCs w:val="52"/>
        <w:u w:val="single"/>
      </w:rPr>
      <w:drawing>
        <wp:anchor distT="0" distB="0" distL="114300" distR="114300" simplePos="0" relativeHeight="251659264" behindDoc="0" locked="0" layoutInCell="1" allowOverlap="1" wp14:anchorId="0B456EE3" wp14:editId="59AC3805">
          <wp:simplePos x="0" y="0"/>
          <wp:positionH relativeFrom="margin">
            <wp:align>left</wp:align>
          </wp:positionH>
          <wp:positionV relativeFrom="paragraph">
            <wp:posOffset>-65181</wp:posOffset>
          </wp:positionV>
          <wp:extent cx="505610" cy="699190"/>
          <wp:effectExtent l="0" t="0" r="889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79" t="-503" r="13173" b="11528"/>
                  <a:stretch/>
                </pic:blipFill>
                <pic:spPr bwMode="auto">
                  <a:xfrm>
                    <a:off x="0" y="0"/>
                    <a:ext cx="505610" cy="699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36470"/>
    <w:multiLevelType w:val="hybridMultilevel"/>
    <w:tmpl w:val="37E4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3F"/>
    <w:rsid w:val="000403E5"/>
    <w:rsid w:val="0004112F"/>
    <w:rsid w:val="000A0E87"/>
    <w:rsid w:val="000A2A1E"/>
    <w:rsid w:val="000E32D0"/>
    <w:rsid w:val="001B3FDD"/>
    <w:rsid w:val="0020104F"/>
    <w:rsid w:val="00212092"/>
    <w:rsid w:val="003C5AE7"/>
    <w:rsid w:val="003D7B85"/>
    <w:rsid w:val="00484E54"/>
    <w:rsid w:val="00493FDE"/>
    <w:rsid w:val="004E70D8"/>
    <w:rsid w:val="0055218D"/>
    <w:rsid w:val="00552D30"/>
    <w:rsid w:val="00597B30"/>
    <w:rsid w:val="005B30DC"/>
    <w:rsid w:val="005D7E12"/>
    <w:rsid w:val="00612322"/>
    <w:rsid w:val="0062193F"/>
    <w:rsid w:val="006E51AF"/>
    <w:rsid w:val="00722058"/>
    <w:rsid w:val="0087191C"/>
    <w:rsid w:val="008F1951"/>
    <w:rsid w:val="00942772"/>
    <w:rsid w:val="0098342F"/>
    <w:rsid w:val="009B6CA3"/>
    <w:rsid w:val="009F54D7"/>
    <w:rsid w:val="00A201CE"/>
    <w:rsid w:val="00A3603C"/>
    <w:rsid w:val="00A365C9"/>
    <w:rsid w:val="00B1619F"/>
    <w:rsid w:val="00B6234F"/>
    <w:rsid w:val="00BC6BC9"/>
    <w:rsid w:val="00C01B28"/>
    <w:rsid w:val="00C31A6B"/>
    <w:rsid w:val="00C3242F"/>
    <w:rsid w:val="00C76176"/>
    <w:rsid w:val="00CC5515"/>
    <w:rsid w:val="00DA2903"/>
    <w:rsid w:val="00DC2106"/>
    <w:rsid w:val="00EC08A2"/>
    <w:rsid w:val="00F1793B"/>
    <w:rsid w:val="00F3294C"/>
    <w:rsid w:val="00F40C61"/>
    <w:rsid w:val="00F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6979F"/>
  <w15:chartTrackingRefBased/>
  <w15:docId w15:val="{AA86F79C-064F-4664-89B2-0EAC305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93F"/>
  </w:style>
  <w:style w:type="paragraph" w:styleId="Footer">
    <w:name w:val="footer"/>
    <w:basedOn w:val="Normal"/>
    <w:link w:val="FooterChar"/>
    <w:uiPriority w:val="99"/>
    <w:unhideWhenUsed/>
    <w:rsid w:val="0062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93F"/>
  </w:style>
  <w:style w:type="table" w:styleId="TableGrid">
    <w:name w:val="Table Grid"/>
    <w:basedOn w:val="TableNormal"/>
    <w:uiPriority w:val="39"/>
    <w:rsid w:val="0062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1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9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1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2656U7WV7JRA-391951906-178002</_dlc_DocId>
    <_dlc_DocIdUrl xmlns="ecc483dc-1635-47af-8d32-28c7122e27c1">
      <Url>https://442076303320.sharepoint.com/sites/SharedDrive/_layouts/15/DocIdRedir.aspx?ID=2656U7WV7JRA-391951906-178002</Url>
      <Description>2656U7WV7JRA-391951906-178002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E7F6F4-4D1E-4AF3-BB5C-40D2E9439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AE672-9AB5-434E-9E61-C64E3705D4C1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3.xml><?xml version="1.0" encoding="utf-8"?>
<ds:datastoreItem xmlns:ds="http://schemas.openxmlformats.org/officeDocument/2006/customXml" ds:itemID="{017B16F2-D6A5-4006-A0AD-296656294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C6042-3456-46FD-8B63-FAC3D98EEC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Moore</dc:creator>
  <cp:keywords/>
  <dc:description/>
  <cp:lastModifiedBy>Georgina McDowell</cp:lastModifiedBy>
  <cp:revision>20</cp:revision>
  <dcterms:created xsi:type="dcterms:W3CDTF">2021-08-16T09:14:00Z</dcterms:created>
  <dcterms:modified xsi:type="dcterms:W3CDTF">2021-09-23T16:59:00Z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6b72dc3c-bc35-49d7-9cd5-52a632863c45</vt:lpwstr>
  </property>
</Properties>
</file>