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C1D0" w14:textId="654D4216" w:rsidR="00CB310E" w:rsidRDefault="00CB310E"/>
    <w:p w14:paraId="5ACFEB5D" w14:textId="2070C60E" w:rsidR="00EF643F" w:rsidRPr="00D03B38" w:rsidRDefault="00D03B38" w:rsidP="00D03B38">
      <w:pPr>
        <w:jc w:val="center"/>
        <w:rPr>
          <w:rFonts w:ascii="Avenir Next LT Pro Light" w:hAnsi="Avenir Next LT Pro Light" w:cstheme="minorHAnsi"/>
          <w:b/>
          <w:bCs/>
          <w:u w:val="single"/>
        </w:rPr>
      </w:pPr>
      <w:r w:rsidRPr="00D03B38">
        <w:rPr>
          <w:rFonts w:ascii="Avenir Next LT Pro Light" w:hAnsi="Avenir Next LT Pro Light" w:cstheme="minorHAnsi"/>
          <w:b/>
          <w:bCs/>
          <w:u w:val="single"/>
        </w:rPr>
        <w:t>Biosecurity Policy</w:t>
      </w:r>
    </w:p>
    <w:tbl>
      <w:tblPr>
        <w:tblStyle w:val="TableGrid"/>
        <w:tblW w:w="14499" w:type="dxa"/>
        <w:tblLook w:val="04A0" w:firstRow="1" w:lastRow="0" w:firstColumn="1" w:lastColumn="0" w:noHBand="0" w:noVBand="1"/>
      </w:tblPr>
      <w:tblGrid>
        <w:gridCol w:w="3531"/>
        <w:gridCol w:w="10968"/>
      </w:tblGrid>
      <w:tr w:rsidR="00D03B38" w:rsidRPr="00D03B38" w14:paraId="5D80C36F" w14:textId="77777777" w:rsidTr="00D03B38">
        <w:trPr>
          <w:trHeight w:val="514"/>
        </w:trPr>
        <w:tc>
          <w:tcPr>
            <w:tcW w:w="3531" w:type="dxa"/>
            <w:shd w:val="clear" w:color="auto" w:fill="D9E2F3" w:themeFill="accent1" w:themeFillTint="33"/>
          </w:tcPr>
          <w:p w14:paraId="3EE0BFE9" w14:textId="6077E033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  <w:r w:rsidRPr="00D03B38">
              <w:rPr>
                <w:rFonts w:ascii="Avenir Next LT Pro Light" w:hAnsi="Avenir Next LT Pro Light" w:cstheme="minorHAnsi"/>
              </w:rPr>
              <w:t>Potential Source of Disease:</w:t>
            </w:r>
          </w:p>
        </w:tc>
        <w:tc>
          <w:tcPr>
            <w:tcW w:w="10968" w:type="dxa"/>
            <w:shd w:val="clear" w:color="auto" w:fill="D9E2F3" w:themeFill="accent1" w:themeFillTint="33"/>
          </w:tcPr>
          <w:p w14:paraId="4F2F1D38" w14:textId="25EB86C0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  <w:r w:rsidRPr="00D03B38">
              <w:rPr>
                <w:rFonts w:ascii="Avenir Next LT Pro Light" w:hAnsi="Avenir Next LT Pro Light" w:cstheme="minorHAnsi"/>
              </w:rPr>
              <w:t xml:space="preserve">Control </w:t>
            </w:r>
            <w:r w:rsidR="00143E8F">
              <w:rPr>
                <w:rFonts w:ascii="Avenir Next LT Pro Light" w:hAnsi="Avenir Next LT Pro Light" w:cstheme="minorHAnsi"/>
              </w:rPr>
              <w:t>m</w:t>
            </w:r>
            <w:r w:rsidRPr="00D03B38">
              <w:rPr>
                <w:rFonts w:ascii="Avenir Next LT Pro Light" w:hAnsi="Avenir Next LT Pro Light" w:cstheme="minorHAnsi"/>
              </w:rPr>
              <w:t>easures to be taken to minimise the spread of disease:</w:t>
            </w:r>
          </w:p>
        </w:tc>
      </w:tr>
      <w:tr w:rsidR="00D03B38" w:rsidRPr="00D03B38" w14:paraId="00232D62" w14:textId="77777777" w:rsidTr="00EF643F">
        <w:trPr>
          <w:trHeight w:val="1382"/>
        </w:trPr>
        <w:tc>
          <w:tcPr>
            <w:tcW w:w="3531" w:type="dxa"/>
          </w:tcPr>
          <w:p w14:paraId="2FD66E37" w14:textId="3A10BDFB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  <w:r w:rsidRPr="00D03B38">
              <w:rPr>
                <w:rFonts w:ascii="Avenir Next LT Pro Light" w:hAnsi="Avenir Next LT Pro Light" w:cstheme="minorHAnsi"/>
              </w:rPr>
              <w:t>Incoming livestock:</w:t>
            </w:r>
          </w:p>
        </w:tc>
        <w:tc>
          <w:tcPr>
            <w:tcW w:w="10968" w:type="dxa"/>
          </w:tcPr>
          <w:p w14:paraId="504EF53E" w14:textId="77777777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D03B38" w:rsidRPr="00D03B38" w14:paraId="549A327F" w14:textId="77777777" w:rsidTr="00EF643F">
        <w:trPr>
          <w:trHeight w:val="1336"/>
        </w:trPr>
        <w:tc>
          <w:tcPr>
            <w:tcW w:w="3531" w:type="dxa"/>
          </w:tcPr>
          <w:p w14:paraId="6090C49E" w14:textId="2F550A5F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  <w:r w:rsidRPr="00D03B38">
              <w:rPr>
                <w:rFonts w:ascii="Avenir Next LT Pro Light" w:hAnsi="Avenir Next LT Pro Light" w:cstheme="minorHAnsi"/>
              </w:rPr>
              <w:t>People:</w:t>
            </w:r>
          </w:p>
        </w:tc>
        <w:tc>
          <w:tcPr>
            <w:tcW w:w="10968" w:type="dxa"/>
          </w:tcPr>
          <w:p w14:paraId="2CD3CE33" w14:textId="77777777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D03B38" w:rsidRPr="00D03B38" w14:paraId="3FA45F9C" w14:textId="77777777" w:rsidTr="00EF643F">
        <w:trPr>
          <w:trHeight w:val="1336"/>
        </w:trPr>
        <w:tc>
          <w:tcPr>
            <w:tcW w:w="3531" w:type="dxa"/>
          </w:tcPr>
          <w:p w14:paraId="2108BEA8" w14:textId="1FBC4A77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  <w:r w:rsidRPr="00D03B38">
              <w:rPr>
                <w:rFonts w:ascii="Avenir Next LT Pro Light" w:hAnsi="Avenir Next LT Pro Light" w:cstheme="minorHAnsi"/>
              </w:rPr>
              <w:t>Equipment:</w:t>
            </w:r>
          </w:p>
        </w:tc>
        <w:tc>
          <w:tcPr>
            <w:tcW w:w="10968" w:type="dxa"/>
          </w:tcPr>
          <w:p w14:paraId="6786F651" w14:textId="77777777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EF643F" w:rsidRPr="00D03B38" w14:paraId="24064FB1" w14:textId="77777777" w:rsidTr="00EF643F">
        <w:trPr>
          <w:trHeight w:val="1336"/>
        </w:trPr>
        <w:tc>
          <w:tcPr>
            <w:tcW w:w="3531" w:type="dxa"/>
          </w:tcPr>
          <w:p w14:paraId="1FF4C9E0" w14:textId="00D26CB9" w:rsidR="00EF643F" w:rsidRPr="00D03B38" w:rsidRDefault="00143E8F">
            <w:pPr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Vehicles</w:t>
            </w:r>
            <w:r w:rsidR="00EF643F" w:rsidRPr="00D03B38">
              <w:rPr>
                <w:rFonts w:ascii="Avenir Next LT Pro Light" w:hAnsi="Avenir Next LT Pro Light" w:cstheme="minorHAnsi"/>
              </w:rPr>
              <w:t>:</w:t>
            </w:r>
          </w:p>
        </w:tc>
        <w:tc>
          <w:tcPr>
            <w:tcW w:w="10968" w:type="dxa"/>
          </w:tcPr>
          <w:p w14:paraId="0CF166ED" w14:textId="77777777" w:rsidR="00EF643F" w:rsidRPr="00D03B38" w:rsidRDefault="00EF643F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143E8F" w:rsidRPr="00D03B38" w14:paraId="789D8B09" w14:textId="77777777" w:rsidTr="00EF643F">
        <w:trPr>
          <w:trHeight w:val="1336"/>
        </w:trPr>
        <w:tc>
          <w:tcPr>
            <w:tcW w:w="3531" w:type="dxa"/>
          </w:tcPr>
          <w:p w14:paraId="41A86207" w14:textId="39212894" w:rsidR="00143E8F" w:rsidRDefault="00143E8F">
            <w:pPr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Other:</w:t>
            </w:r>
          </w:p>
        </w:tc>
        <w:tc>
          <w:tcPr>
            <w:tcW w:w="10968" w:type="dxa"/>
          </w:tcPr>
          <w:p w14:paraId="73C5716E" w14:textId="77777777" w:rsidR="00143E8F" w:rsidRPr="00D03B38" w:rsidRDefault="00143E8F">
            <w:pPr>
              <w:rPr>
                <w:rFonts w:ascii="Avenir Next LT Pro Light" w:hAnsi="Avenir Next LT Pro Light" w:cstheme="minorHAnsi"/>
              </w:rPr>
            </w:pPr>
          </w:p>
        </w:tc>
      </w:tr>
    </w:tbl>
    <w:p w14:paraId="23E6A9BB" w14:textId="77777777" w:rsidR="00DB05A3" w:rsidRPr="00D03B38" w:rsidRDefault="00DB05A3" w:rsidP="00DB05A3">
      <w:pPr>
        <w:rPr>
          <w:rFonts w:ascii="Avenir Next LT Pro Light" w:hAnsi="Avenir Next LT Pro Light"/>
        </w:rPr>
      </w:pPr>
    </w:p>
    <w:sectPr w:rsidR="00DB05A3" w:rsidRPr="00D03B38" w:rsidSect="00EF643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8D03" w14:textId="77777777" w:rsidR="008D42B4" w:rsidRDefault="008D42B4" w:rsidP="00EF643F">
      <w:pPr>
        <w:spacing w:after="0" w:line="240" w:lineRule="auto"/>
      </w:pPr>
      <w:r>
        <w:separator/>
      </w:r>
    </w:p>
  </w:endnote>
  <w:endnote w:type="continuationSeparator" w:id="0">
    <w:p w14:paraId="67809B6A" w14:textId="77777777" w:rsidR="008D42B4" w:rsidRDefault="008D42B4" w:rsidP="00EF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FCA7" w14:textId="77777777" w:rsidR="00D56174" w:rsidRPr="002062E9" w:rsidRDefault="00D56174" w:rsidP="00D56174">
    <w:pPr>
      <w:pStyle w:val="Footer"/>
    </w:pPr>
    <w:r>
      <w:t>© Assured Food Standards 2021</w:t>
    </w:r>
  </w:p>
  <w:p w14:paraId="0ED5F81A" w14:textId="77777777" w:rsidR="00D56174" w:rsidRDefault="00D56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327E" w14:textId="77777777" w:rsidR="008D42B4" w:rsidRDefault="008D42B4" w:rsidP="00EF643F">
      <w:pPr>
        <w:spacing w:after="0" w:line="240" w:lineRule="auto"/>
      </w:pPr>
      <w:r>
        <w:separator/>
      </w:r>
    </w:p>
  </w:footnote>
  <w:footnote w:type="continuationSeparator" w:id="0">
    <w:p w14:paraId="705FBE78" w14:textId="77777777" w:rsidR="008D42B4" w:rsidRDefault="008D42B4" w:rsidP="00EF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A409" w14:textId="31AC460D" w:rsidR="00EF643F" w:rsidRDefault="00EF643F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61312" behindDoc="0" locked="0" layoutInCell="1" allowOverlap="1" wp14:anchorId="488CF727" wp14:editId="39082EB9">
          <wp:simplePos x="0" y="0"/>
          <wp:positionH relativeFrom="margin">
            <wp:align>left</wp:align>
          </wp:positionH>
          <wp:positionV relativeFrom="paragraph">
            <wp:posOffset>-127946</wp:posOffset>
          </wp:positionV>
          <wp:extent cx="509702" cy="704850"/>
          <wp:effectExtent l="0" t="0" r="508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F"/>
    <w:rsid w:val="0000213E"/>
    <w:rsid w:val="00143E8F"/>
    <w:rsid w:val="008D42B4"/>
    <w:rsid w:val="00CB310E"/>
    <w:rsid w:val="00D03B38"/>
    <w:rsid w:val="00D56174"/>
    <w:rsid w:val="00DB05A3"/>
    <w:rsid w:val="00E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089F"/>
  <w15:chartTrackingRefBased/>
  <w15:docId w15:val="{8A954FE1-F9F7-478E-BF9F-99C32B1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3F"/>
  </w:style>
  <w:style w:type="paragraph" w:styleId="Footer">
    <w:name w:val="footer"/>
    <w:basedOn w:val="Normal"/>
    <w:link w:val="FooterChar"/>
    <w:uiPriority w:val="99"/>
    <w:unhideWhenUsed/>
    <w:rsid w:val="00EF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3F"/>
  </w:style>
  <w:style w:type="table" w:styleId="TableGrid">
    <w:name w:val="Table Grid"/>
    <w:basedOn w:val="TableNormal"/>
    <w:uiPriority w:val="39"/>
    <w:rsid w:val="00EF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2656U7WV7JRA-391951906-178174</_dlc_DocId>
    <_dlc_DocIdUrl xmlns="ecc483dc-1635-47af-8d32-28c7122e27c1">
      <Url>https://442076303320.sharepoint.com/sites/SharedDrive/_layouts/15/DocIdRedir.aspx?ID=2656U7WV7JRA-391951906-178174</Url>
      <Description>2656U7WV7JRA-391951906-178174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55FF2-BF4E-4B24-89E2-DD53FE3470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C3EC98-ECD2-4F89-B9A4-776C814BE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74762-691B-4486-9F66-C091743FC9B2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7A5638E2-FA31-4101-9E0C-CA839FC2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6</cp:revision>
  <dcterms:created xsi:type="dcterms:W3CDTF">2021-09-07T08:51:00Z</dcterms:created>
  <dcterms:modified xsi:type="dcterms:W3CDTF">2021-09-24T09:00:00Z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4527b4f5-6e6f-4bc7-afe6-47606c32440a</vt:lpwstr>
  </property>
</Properties>
</file>